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360" w:lineRule="auto"/>
        <w:rPr>
          <w:outline w:val="0"/>
          <w:color w:val="767171"/>
          <w:sz w:val="24"/>
          <w:szCs w:val="24"/>
          <w:u w:color="767171"/>
          <w14:textFill>
            <w14:solidFill>
              <w14:srgbClr w14:val="767171"/>
            </w14:solidFill>
          </w14:textFill>
        </w:rPr>
      </w:pPr>
      <w:r>
        <w:rPr>
          <w:outline w:val="0"/>
          <w:color w:val="767171"/>
          <w:sz w:val="24"/>
          <w:szCs w:val="24"/>
          <w:u w:color="767171"/>
          <w:rtl w:val="0"/>
          <w:lang w:val="en-US"/>
          <w14:textFill>
            <w14:solidFill>
              <w14:srgbClr w14:val="767171"/>
            </w14:solidFill>
          </w14:textFill>
        </w:rPr>
        <w:t>PL:</w:t>
      </w:r>
    </w:p>
    <w:p>
      <w:pPr>
        <w:pStyle w:val="Normal.0"/>
        <w:spacing w:line="360" w:lineRule="auto"/>
        <w:rPr>
          <w:rStyle w:val="Brak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Muzeum Narodowe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Lublinie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gromadzi najbogatsze 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najcenniejsze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regionie zbiory reprezentuj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polskie 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europejskie dziedzictwo kulturowe.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Obejmuj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wiele dziedzin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od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archeologii po sztuk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wsp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czesn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. Prowadzi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wystawiennicz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naukowo-badawcz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edukacyjn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popularyzatorsk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wydawnicz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a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tak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konserwatorsk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. Wsp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pracuje z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muzeami oraz innymi instytucjami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Polsce 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za granic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zakresie ochrony, badania 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upowszechniania dziedzictwa kulturowego. Posiada bogaty program edukacyjny, uwzgl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potrzeby r</w:t>
      </w:r>
      <w:r>
        <w:rPr>
          <w:sz w:val="24"/>
          <w:szCs w:val="24"/>
          <w:rtl w:val="0"/>
        </w:rPr>
        <w:t>óż</w:t>
      </w:r>
      <w:r>
        <w:rPr>
          <w:sz w:val="24"/>
          <w:szCs w:val="24"/>
          <w:rtl w:val="0"/>
        </w:rPr>
        <w:t>nych grup odbiorc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w,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tym os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b z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niepe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nosprawno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ciami.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Muzeum stanowi 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  <w:lang w:val="en-US"/>
        </w:rPr>
        <w:t>ny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rodek promocji miasta i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regionu.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</w:rPr>
        <w:t>Wybrane zbiory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na r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wnie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  <w:lang w:val="it-IT"/>
        </w:rPr>
        <w:t>ogl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na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stronie muzeum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zak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adce</w:t>
      </w:r>
      <w:r>
        <w:rPr>
          <w:sz w:val="24"/>
          <w:szCs w:val="24"/>
          <w:rtl w:val="0"/>
        </w:rPr>
        <w:t> 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"https://zamek-lublin.pl/katalog-zbiorow/"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</w:rPr>
        <w:t>udost</w:t>
      </w:r>
      <w:r>
        <w:rPr>
          <w:rStyle w:val="Hyperlink.0"/>
          <w:sz w:val="24"/>
          <w:szCs w:val="24"/>
          <w:rtl w:val="0"/>
        </w:rPr>
        <w:t>ę</w:t>
      </w:r>
      <w:r>
        <w:rPr>
          <w:rStyle w:val="Hyperlink.0"/>
          <w:sz w:val="24"/>
          <w:szCs w:val="24"/>
          <w:rtl w:val="0"/>
        </w:rPr>
        <w:t>pnione cyfrowo</w:t>
      </w:r>
      <w:r>
        <w:rPr>
          <w:sz w:val="24"/>
          <w:szCs w:val="24"/>
        </w:rPr>
        <w:fldChar w:fldCharType="end" w:fldLock="0"/>
      </w:r>
    </w:p>
    <w:p>
      <w:pPr>
        <w:pStyle w:val="Normal.0"/>
        <w:spacing w:line="360" w:lineRule="auto"/>
        <w:rPr>
          <w:rStyle w:val="Brak"/>
          <w:outline w:val="0"/>
          <w:color w:val="767171"/>
          <w:sz w:val="24"/>
          <w:szCs w:val="24"/>
          <w:u w:color="767171"/>
          <w14:textFill>
            <w14:solidFill>
              <w14:srgbClr w14:val="767171"/>
            </w14:solidFill>
          </w14:textFill>
        </w:rPr>
      </w:pPr>
      <w:r>
        <w:rPr>
          <w:rStyle w:val="Brak"/>
          <w:outline w:val="0"/>
          <w:color w:val="767171"/>
          <w:sz w:val="24"/>
          <w:szCs w:val="24"/>
          <w:u w:color="767171"/>
          <w:rtl w:val="0"/>
          <w:lang w:val="en-US"/>
          <w14:textFill>
            <w14:solidFill>
              <w14:srgbClr w14:val="767171"/>
            </w14:solidFill>
          </w14:textFill>
        </w:rPr>
        <w:t>EN: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360" w:lineRule="auto"/>
        <w:ind w:left="0" w:right="0" w:firstLine="0"/>
        <w:jc w:val="left"/>
        <w:rPr>
          <w:rtl w:val="0"/>
        </w:rPr>
      </w:pP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 National Museum in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Lublin collects the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richest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most valuable objects in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 region, representing Polish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 xml:space="preserve">European cultural heritage. They cover many fields 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 xml:space="preserve">– 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from archeology to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contemporary art.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It conducts exhibition, scientific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research, educational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popularizing, publishing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conservation activities. It cooperates with museums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other institutions in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Poland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abroad in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 field of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protection, research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dissemination of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cultural heritage.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It has an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extensive educational program that takes into account the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needs of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various audiences, including people with disabilities. The museum is an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fr-FR"/>
        </w:rPr>
        <w:t>important center for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promotion of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 city and</w:t>
      </w:r>
      <w:r>
        <w:rPr>
          <w:rStyle w:val="Brak"/>
          <w:rFonts w:ascii="Calibri" w:hAnsi="Calibri" w:hint="default"/>
          <w:sz w:val="24"/>
          <w:szCs w:val="24"/>
          <w:u w:color="767171"/>
          <w:shd w:val="clear" w:color="auto" w:fill="ffffff"/>
          <w:rtl w:val="0"/>
        </w:rPr>
        <w:t> </w:t>
      </w:r>
      <w:r>
        <w:rPr>
          <w:rStyle w:val="Brak"/>
          <w:rFonts w:ascii="Calibri" w:hAnsi="Calibri"/>
          <w:sz w:val="24"/>
          <w:szCs w:val="24"/>
          <w:u w:color="767171"/>
          <w:shd w:val="clear" w:color="auto" w:fill="ffffff"/>
          <w:rtl w:val="0"/>
          <w:lang w:val="en-US"/>
        </w:rPr>
        <w:t>the region.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0e63df"/>
      <w:u w:val="single"/>
      <w14:textFill>
        <w14:solidFill>
          <w14:srgbClr w14:val="0E63DF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